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81" w:rsidRDefault="00B47981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7981" w:rsidRDefault="00B47981">
      <w:pPr>
        <w:pStyle w:val="ConsPlusNormal"/>
        <w:jc w:val="both"/>
        <w:outlineLvl w:val="0"/>
      </w:pPr>
    </w:p>
    <w:p w:rsidR="00B47981" w:rsidRDefault="00B479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47981" w:rsidRDefault="00B47981">
      <w:pPr>
        <w:pStyle w:val="ConsPlusTitle"/>
        <w:jc w:val="center"/>
      </w:pPr>
    </w:p>
    <w:p w:rsidR="00B47981" w:rsidRDefault="00B47981">
      <w:pPr>
        <w:pStyle w:val="ConsPlusTitle"/>
        <w:jc w:val="center"/>
      </w:pPr>
      <w:r>
        <w:t>ПОСТАНОВЛЕНИЕ</w:t>
      </w:r>
    </w:p>
    <w:p w:rsidR="00B47981" w:rsidRDefault="00B47981">
      <w:pPr>
        <w:pStyle w:val="ConsPlusTitle"/>
        <w:jc w:val="center"/>
      </w:pPr>
      <w:r>
        <w:t>от 28 сентября 2015 г. N 1029</w:t>
      </w:r>
    </w:p>
    <w:p w:rsidR="00B47981" w:rsidRDefault="00B47981">
      <w:pPr>
        <w:pStyle w:val="ConsPlusTitle"/>
        <w:jc w:val="center"/>
      </w:pPr>
    </w:p>
    <w:p w:rsidR="00B47981" w:rsidRDefault="00B47981">
      <w:pPr>
        <w:pStyle w:val="ConsPlusTitle"/>
        <w:jc w:val="center"/>
      </w:pPr>
      <w:r>
        <w:t>ОБ УТВЕРЖДЕНИИ КРИТЕРИЕВ</w:t>
      </w:r>
    </w:p>
    <w:p w:rsidR="00B47981" w:rsidRDefault="00B47981">
      <w:pPr>
        <w:pStyle w:val="ConsPlusTitle"/>
        <w:jc w:val="center"/>
      </w:pPr>
      <w:r>
        <w:t>ОТНЕСЕНИЯ ОБЪЕКТОВ, ОКАЗЫВАЮЩИХ НЕГАТИВНОЕ ВОЗДЕЙСТВИЕ</w:t>
      </w:r>
    </w:p>
    <w:p w:rsidR="00B47981" w:rsidRDefault="00B47981">
      <w:pPr>
        <w:pStyle w:val="ConsPlusTitle"/>
        <w:jc w:val="center"/>
      </w:pPr>
      <w:r>
        <w:t>НА ОКРУЖАЮЩУЮ СРЕДУ, К ОБЪЕКТАМ I, II, III</w:t>
      </w:r>
      <w:proofErr w:type="gramStart"/>
      <w:r>
        <w:t xml:space="preserve"> И</w:t>
      </w:r>
      <w:proofErr w:type="gramEnd"/>
      <w:r>
        <w:t xml:space="preserve"> IV КАТЕГОРИЙ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 w:history="1">
        <w:r>
          <w:rPr>
            <w:color w:val="0000FF"/>
          </w:rPr>
          <w:t>критерии</w:t>
        </w:r>
      </w:hyperlink>
      <w:r>
        <w:t xml:space="preserve"> отнесения объектов, оказывающих негативное воздействие на окружающую среду, к объектам I, II, III и IV категорий.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jc w:val="right"/>
      </w:pPr>
      <w:r>
        <w:t>Председатель Правительства</w:t>
      </w:r>
    </w:p>
    <w:p w:rsidR="00B47981" w:rsidRDefault="00B47981">
      <w:pPr>
        <w:pStyle w:val="ConsPlusNormal"/>
        <w:jc w:val="right"/>
      </w:pPr>
      <w:r>
        <w:t>Российской Федерации</w:t>
      </w:r>
    </w:p>
    <w:p w:rsidR="00B47981" w:rsidRDefault="00B47981">
      <w:pPr>
        <w:pStyle w:val="ConsPlusNormal"/>
        <w:jc w:val="right"/>
      </w:pPr>
      <w:r>
        <w:t>Д.МЕДВЕДЕВ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jc w:val="right"/>
        <w:outlineLvl w:val="0"/>
      </w:pPr>
      <w:r>
        <w:t>Утверждены</w:t>
      </w:r>
    </w:p>
    <w:p w:rsidR="00B47981" w:rsidRDefault="00B47981">
      <w:pPr>
        <w:pStyle w:val="ConsPlusNormal"/>
        <w:jc w:val="right"/>
      </w:pPr>
      <w:r>
        <w:t>постановлением Правительства</w:t>
      </w:r>
    </w:p>
    <w:p w:rsidR="00B47981" w:rsidRDefault="00B47981">
      <w:pPr>
        <w:pStyle w:val="ConsPlusNormal"/>
        <w:jc w:val="right"/>
      </w:pPr>
      <w:r>
        <w:t>Российской Федерации</w:t>
      </w:r>
    </w:p>
    <w:p w:rsidR="00B47981" w:rsidRDefault="00B47981">
      <w:pPr>
        <w:pStyle w:val="ConsPlusNormal"/>
        <w:jc w:val="right"/>
      </w:pPr>
      <w:r>
        <w:t>от 28 сентября 2015 г. N 1029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Title"/>
        <w:jc w:val="center"/>
      </w:pPr>
      <w:bookmarkStart w:id="1" w:name="P26"/>
      <w:bookmarkEnd w:id="1"/>
      <w:r>
        <w:t>КРИТЕРИИ</w:t>
      </w:r>
    </w:p>
    <w:p w:rsidR="00B47981" w:rsidRDefault="00B47981">
      <w:pPr>
        <w:pStyle w:val="ConsPlusTitle"/>
        <w:jc w:val="center"/>
      </w:pPr>
      <w:r>
        <w:t>ОТНЕСЕНИЯ ОБЪЕКТОВ, ОКАЗЫВАЮЩИХ НЕГАТИВНОЕ ВОЗДЕЙСТВИЕ</w:t>
      </w:r>
    </w:p>
    <w:p w:rsidR="00B47981" w:rsidRDefault="00B47981">
      <w:pPr>
        <w:pStyle w:val="ConsPlusTitle"/>
        <w:jc w:val="center"/>
      </w:pPr>
      <w:r>
        <w:t>НА ОКРУЖАЮЩУЮ СРЕДУ, К ОБЪЕКТАМ I, II, III</w:t>
      </w:r>
      <w:proofErr w:type="gramStart"/>
      <w:r>
        <w:t xml:space="preserve"> И</w:t>
      </w:r>
      <w:proofErr w:type="gramEnd"/>
      <w:r>
        <w:t xml:space="preserve"> IV КАТЕГОРИЙ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jc w:val="center"/>
        <w:outlineLvl w:val="1"/>
      </w:pPr>
      <w:bookmarkStart w:id="2" w:name="P30"/>
      <w:bookmarkEnd w:id="2"/>
      <w:r>
        <w:t xml:space="preserve">I. Критерии отнесения объектов, оказывающих </w:t>
      </w:r>
      <w:proofErr w:type="gramStart"/>
      <w:r>
        <w:t>значительное</w:t>
      </w:r>
      <w:proofErr w:type="gramEnd"/>
    </w:p>
    <w:p w:rsidR="00B47981" w:rsidRDefault="00B47981">
      <w:pPr>
        <w:pStyle w:val="ConsPlusNormal"/>
        <w:jc w:val="center"/>
      </w:pPr>
      <w:r>
        <w:t xml:space="preserve">негативное воздействие на окружающую среду и </w:t>
      </w:r>
      <w:proofErr w:type="gramStart"/>
      <w:r>
        <w:t>относящихся</w:t>
      </w:r>
      <w:proofErr w:type="gramEnd"/>
    </w:p>
    <w:p w:rsidR="00B47981" w:rsidRDefault="00B47981">
      <w:pPr>
        <w:pStyle w:val="ConsPlusNormal"/>
        <w:jc w:val="center"/>
      </w:pPr>
      <w:r>
        <w:t>к областям применения наилучших доступных технологий,</w:t>
      </w:r>
    </w:p>
    <w:p w:rsidR="00B47981" w:rsidRDefault="00B47981">
      <w:pPr>
        <w:pStyle w:val="ConsPlusNormal"/>
        <w:jc w:val="center"/>
      </w:pPr>
      <w:r>
        <w:t>к объектам I категории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ind w:firstLine="540"/>
        <w:jc w:val="both"/>
      </w:pPr>
      <w:r>
        <w:t>1. Осуществление хозяйственной и (или) иной деятельности: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а) по производству кокса;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б) по добыче сырой нефти и природного газа, включая переработку природного газа;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в) по производству нефтепродуктов;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г) по добыче и обогащению железных руд;</w:t>
      </w:r>
    </w:p>
    <w:p w:rsidR="00B47981" w:rsidRDefault="00B47981">
      <w:pPr>
        <w:pStyle w:val="ConsPlusNormal"/>
        <w:spacing w:before="220"/>
        <w:ind w:firstLine="540"/>
        <w:jc w:val="both"/>
      </w:pPr>
      <w:proofErr w:type="gramStart"/>
      <w:r>
        <w:t>д) по добыче и подготовке руд цветных металлов - алюминия (боксита), меди, свинца, цинка, олова, марганца, хрома, никеля, кобальта, молибдена, тантала, ванадия, а также руд драгоценных металлов (золота, серебра, платины), за исключением руд и песков драгоценных металлов, оловянных руд, титановых руд, хромовых руд на рассыпных месторождениях;</w:t>
      </w:r>
      <w:proofErr w:type="gramEnd"/>
    </w:p>
    <w:p w:rsidR="00B47981" w:rsidRDefault="00B47981">
      <w:pPr>
        <w:pStyle w:val="ConsPlusNormal"/>
        <w:spacing w:before="220"/>
        <w:ind w:firstLine="540"/>
        <w:jc w:val="both"/>
      </w:pPr>
      <w:proofErr w:type="gramStart"/>
      <w:r>
        <w:t xml:space="preserve">е) по обеспечению электрической энергией, газом и паром с использованием оборудования </w:t>
      </w:r>
      <w:r>
        <w:lastRenderedPageBreak/>
        <w:t>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</w:r>
      <w:proofErr w:type="gramEnd"/>
    </w:p>
    <w:p w:rsidR="00B47981" w:rsidRDefault="00B47981">
      <w:pPr>
        <w:pStyle w:val="ConsPlusNormal"/>
        <w:spacing w:before="220"/>
        <w:ind w:firstLine="540"/>
        <w:jc w:val="both"/>
      </w:pPr>
      <w:r>
        <w:t>ж) по металлургическому производству с использованием оборудования: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производства чугуна или стали (первичной или вторичной плавки), включая установки непрерывной разливки (с производительностью 2,5 тонны в час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обработки черных металлов с использованием станов горячей прокатки (с проектной производительностью 20 тонн нерафинированной стали в час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нанесения защитных распыленных металлических покрытий (с подачей 2 тонн нерафинированной стали в час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литейного производства черных металлов (с проектной производительностью 20 тонн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производства цветных металлов из руды, концентратов или вторичного сырья (с помощью металлургических, химических или электролитических процессов);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плавки, включая легирование, рафинирование, и разливки цветных металлов (с проектной производительностью (плавки) 4 тонны в сутки и более для свинца и кадмия или 20 тонн в сутки и более для других металлов);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производства ферросплавов;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з) по производству следующей неметаллической минеральной продукции: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стекло и изделия из стекла, включая стекловолокно (с проектной производительностью 20 тонн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огнеупорные керамические изделия и строительные керамические материалы (с проектной мощностью 1 млн. штук в год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керамические или фарфоровые изделия, кроме огнеупорных керамических изделий и строительных керамических материалов (с проектной мощностью 75 тонн в сутки и более и (или) с использованием обжиговых печей с плотностью садки на одну печь, превышающей 300 кг на 1 куб. метр);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цементный клинкер во вращающихся печах или в других печах (с проектной мощностью 500 тонн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известь (негашеная, гашеная) при наличии печей (с проектной мощностью 50 тонн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и) по производству химических веществ и химических продуктов следующих основных органических химических веществ: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простые углеводороды (линейные или циклические, насыщенные или ненасыщенные, алифатические или ароматические);</w:t>
      </w:r>
    </w:p>
    <w:p w:rsidR="00B47981" w:rsidRDefault="00B47981">
      <w:pPr>
        <w:pStyle w:val="ConsPlusNormal"/>
        <w:spacing w:before="220"/>
        <w:ind w:firstLine="540"/>
        <w:jc w:val="both"/>
      </w:pPr>
      <w:proofErr w:type="gramStart"/>
      <w:r>
        <w:t>кислородсодержащие углеводороды - спирты, альдегиды, кетоны, карбоновые кислоты, сложные эфиры, ацетаты, простые эфиры, пероксиды, эпоксидные смолы;</w:t>
      </w:r>
      <w:proofErr w:type="gramEnd"/>
    </w:p>
    <w:p w:rsidR="00B47981" w:rsidRDefault="00B47981">
      <w:pPr>
        <w:pStyle w:val="ConsPlusNormal"/>
        <w:spacing w:before="220"/>
        <w:ind w:firstLine="540"/>
        <w:jc w:val="both"/>
      </w:pPr>
      <w:r>
        <w:t>серосодержащие углеводороды;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lastRenderedPageBreak/>
        <w:t xml:space="preserve">азотсодержащие углеводороды - амиды, азотистые соединения, </w:t>
      </w:r>
      <w:proofErr w:type="spellStart"/>
      <w:r>
        <w:t>нитросоединения</w:t>
      </w:r>
      <w:proofErr w:type="spellEnd"/>
      <w:r>
        <w:t xml:space="preserve"> или нитратные соединения, нитрилы, </w:t>
      </w:r>
      <w:proofErr w:type="spellStart"/>
      <w:r>
        <w:t>цианаты</w:t>
      </w:r>
      <w:proofErr w:type="spellEnd"/>
      <w:r>
        <w:t xml:space="preserve">, </w:t>
      </w:r>
      <w:proofErr w:type="spellStart"/>
      <w:r>
        <w:t>изоцианаты</w:t>
      </w:r>
      <w:proofErr w:type="spellEnd"/>
      <w:r>
        <w:t>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фосфорсодержащие углеводороды;</w:t>
      </w:r>
    </w:p>
    <w:p w:rsidR="00B47981" w:rsidRDefault="00B47981">
      <w:pPr>
        <w:pStyle w:val="ConsPlusNormal"/>
        <w:spacing w:before="220"/>
        <w:ind w:firstLine="540"/>
        <w:jc w:val="both"/>
      </w:pPr>
      <w:proofErr w:type="spellStart"/>
      <w:r>
        <w:t>галогенированные</w:t>
      </w:r>
      <w:proofErr w:type="spellEnd"/>
      <w:r>
        <w:t xml:space="preserve"> углеводороды;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полимеры, химические синтетические волокна и нити на основе целлюлозы;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синтетический каучук;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синтетические красители и пигменты;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поверхностно-активные вещества;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к) по производству химических веществ и химических продуктов следующих неорганических веществ: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газы - аммиак, хлор или хлористый водород, фтор или фтористый водород, оксиды углерода, соединения серы, оксиды азота, диоксид серы, </w:t>
      </w:r>
      <w:proofErr w:type="spellStart"/>
      <w:r>
        <w:t>карбонилхлорид</w:t>
      </w:r>
      <w:proofErr w:type="spellEnd"/>
      <w:r>
        <w:t xml:space="preserve"> (фосген);</w:t>
      </w:r>
    </w:p>
    <w:p w:rsidR="00B47981" w:rsidRDefault="00B47981">
      <w:pPr>
        <w:pStyle w:val="ConsPlusNormal"/>
        <w:spacing w:before="220"/>
        <w:ind w:firstLine="540"/>
        <w:jc w:val="both"/>
      </w:pPr>
      <w:proofErr w:type="gramStart"/>
      <w:r>
        <w:t>кислоты - хромовая кислота, фтористоводородная (плавиковая) кислота, фосфорная кислота, азотная кислота, соляная кислота, серная кислота, олеум, сернистая кислота;</w:t>
      </w:r>
      <w:proofErr w:type="gramEnd"/>
    </w:p>
    <w:p w:rsidR="00B47981" w:rsidRDefault="00B47981">
      <w:pPr>
        <w:pStyle w:val="ConsPlusNormal"/>
        <w:spacing w:before="220"/>
        <w:ind w:firstLine="540"/>
        <w:jc w:val="both"/>
      </w:pPr>
      <w:r>
        <w:t>основания - гидроксид аммония, гидроксид калия, гидроксид натрия;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соли - хлорид аммония, хлорат калия, карбонат калия, карбонат натрия, </w:t>
      </w:r>
      <w:proofErr w:type="spellStart"/>
      <w:r>
        <w:t>перборат</w:t>
      </w:r>
      <w:proofErr w:type="spellEnd"/>
      <w:r>
        <w:t>, нитрат серебра;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неметаллы, оксиды металлов или другие неорганические соединения - карбид кальция, кремний, карбид кремния;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специальные неорганические химикаты - цианид натрия, цианид калия;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оксид магния (с проектной производительностью 50 тонн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л) по производству пестицидов и прочих агрохимических продуктов в части, касающейся производства минеральных удобрений;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м) по производству фармацевтических субстанций;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н) по обработке и утилизации отходов в части, касающейся обезвреживания отходов производства и потребления с применением оборудования и (или) установок: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по обезвреживанию отходов производства и потребления I - III классов опасности, включая пестициды и </w:t>
      </w:r>
      <w:proofErr w:type="spellStart"/>
      <w:r>
        <w:t>агрохимикаты</w:t>
      </w:r>
      <w:proofErr w:type="spellEnd"/>
      <w:r>
        <w:t>, пришедшие в негодность и (или) запрещенные к применению;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по обезвреживанию отходов производства и потребления IV и V классов опасности (с проектной мощностью 3 тонны в час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о) по обработке и утилизации отходов в части, касающейся обеззараживания и (или) обезвреживания биологических и медицинских отходов (с проектной мощностью 10 тонн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п) по захоронению следующих отходов производства и потребления: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отходы I - III классов опасности;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lastRenderedPageBreak/>
        <w:t>отходы IV и V классов опасности, включая твердые коммунальные отходы (20 тыс. тонн в год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р) по сбору и обработке сточных вод в части, касающейся очистки сточных вод централизованных систем водоотведения (канализации) (с объемом 20 тыс. куб. метров в сутки отводимых сточных вод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с) по производству целлюлозы и древесной массы;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т) по производству бумаги и картона (с проектной производительностью 20 тонн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у) по производству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 (с проектной производительностью 10 тонн обработанного сырья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ф) по производству кожи и изделий из кожи с использованием оборудования для дубления, крашения, выделки шкур и кож (с проектной мощностью 12 тонн готовой продукции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х) по производству следующих пищевых продуктов: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мясо и мясопродукты (с проектной производительностью 50 тонн готовой продукции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растительные и животные масла и жиры (с проектной производительностью 75 тонн готовой продукции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продукция из картофеля, фруктов и овощей (с проектной производительностью 300 тонн готовой продукции в сутки (среднеквартальный показатель)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молочная продукция (с проектной мощностью 200 тонн перерабатываемого молока в сутки (среднегодовой показатель)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ц) по разведению сельскохозяйственной птицы (с проектной мощностью 40 тыс. </w:t>
      </w:r>
      <w:proofErr w:type="spellStart"/>
      <w:r>
        <w:t>птицемест</w:t>
      </w:r>
      <w:proofErr w:type="spellEnd"/>
      <w:r>
        <w:t xml:space="preserve">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ч) по выращиванию и разведению свиней (с проектной мощностью 2000 мест и более), свиноматок (с проектной мощностью 750 мест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ш) по переработке и консервированию мяса в части, касающейся выполнения работ по убою животных на мясокомбинатах, мясохладобойнях;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щ) по добыче угля, включая добычу и обогащение каменного угля, антрацита и бурого угля (лигнита);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ы) связанной с обрабатывающим производством, на котором выполняются работы: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по поверхностной обработке металлов и пластических материалов (с использованием электролитических или химических процессов в технологических ваннах суммарным объемом 30 куб. метров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по обработке поверхностей, предметов или продукции (с использованием органических растворителей, проектное потребление которых составляет 200 тонн в год и более).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jc w:val="center"/>
        <w:outlineLvl w:val="1"/>
      </w:pPr>
      <w:bookmarkStart w:id="3" w:name="P102"/>
      <w:bookmarkEnd w:id="3"/>
      <w:r>
        <w:t xml:space="preserve">II. Критерии отнесения объектов, оказывающих </w:t>
      </w:r>
      <w:proofErr w:type="gramStart"/>
      <w:r>
        <w:t>умеренное</w:t>
      </w:r>
      <w:proofErr w:type="gramEnd"/>
    </w:p>
    <w:p w:rsidR="00B47981" w:rsidRDefault="00B47981">
      <w:pPr>
        <w:pStyle w:val="ConsPlusNormal"/>
        <w:jc w:val="center"/>
      </w:pPr>
      <w:r>
        <w:lastRenderedPageBreak/>
        <w:t>негативное воздействие на окружающую среду, к объектам</w:t>
      </w:r>
    </w:p>
    <w:p w:rsidR="00B47981" w:rsidRDefault="00B47981">
      <w:pPr>
        <w:pStyle w:val="ConsPlusNormal"/>
        <w:jc w:val="center"/>
      </w:pPr>
      <w:r>
        <w:t>II категории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ind w:firstLine="540"/>
        <w:jc w:val="both"/>
      </w:pPr>
      <w:r>
        <w:t>2. Осуществление хозяйственной и (или) иной деятельности:</w:t>
      </w:r>
    </w:p>
    <w:p w:rsidR="00B47981" w:rsidRDefault="00B47981">
      <w:pPr>
        <w:pStyle w:val="ConsPlusNormal"/>
        <w:spacing w:before="220"/>
        <w:ind w:firstLine="540"/>
        <w:jc w:val="both"/>
      </w:pPr>
      <w:proofErr w:type="gramStart"/>
      <w:r>
        <w:t>а) по обеспечению электрической энергией, газом и паром с использованием оборудования (с установленной электрической мощностью менее 250 МВт при потреблении в качестве основного твердого и (или) жидкого топлива или с установленной электрической мощностью менее 500 МВт при потреблении в качестве основного газообразного топлива);</w:t>
      </w:r>
      <w:proofErr w:type="gramEnd"/>
    </w:p>
    <w:p w:rsidR="00B47981" w:rsidRDefault="00B47981">
      <w:pPr>
        <w:pStyle w:val="ConsPlusNormal"/>
        <w:spacing w:before="220"/>
        <w:ind w:firstLine="540"/>
        <w:jc w:val="both"/>
      </w:pPr>
      <w:r>
        <w:t>б) по добыче и подготовке руд и песков драгоценных металлов, оловянных руд, титановых руд, хромовых руд на рассыпных месторождениях;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в) по металлургическому производству с использованием оборудования: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производства чугуна или стали (первичной или вторичной плавки), включая установки непрерывной разливки (с производительностью менее 2,5 тонны в час);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обработки черных металлов с использованием станов горячей прокатки (с проектной производительностью менее 20 тонн нерафинированной стали в час);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нанесения защитных распыленных металлических покрытий (с подачей менее 2 тонн нерафинированной стали в час);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литейного производства черных металлов (с проектной производительностью менее 20 тонн в сутки);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для плавки, включая легирование, рафинирование, и разливки цветных металлов (с проектной производительностью (плавки) менее 4 тонн в сутки для свинца и кадмия или менее 20 тонн в сутки для других металлов);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г) по производству следующей неметаллической минеральной продукции: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стекло и изделия из стекла, включая стекловолокно (с проектной производительностью менее 20 тонн в сутки);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огнеупорные керамические изделия и строительные керамические материалы (с проектной мощностью менее 1 млн. штук в год);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керамические или фарфоровые изделия, кроме огнеупорных керамических изделий и строительных керамических материалов (с проектной мощностью менее 75 тонн в сутки и (или) с использованием обжиговых печей с плотностью садки на одну печь, не превышающей 300 кг на 1 куб. метр);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цементный клинкер во вращающихся печах или в других печах (с проектной мощностью менее 500 тонн в сутки);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известь (негашеная, гашеная) при наличии печей (с проектной мощностью менее 50 тонн в сутки);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д) по производству оксида магния (с проектной производительностью менее 50 тонн в сутки);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е) по сбору и обработке сточных вод в части, касающейся очистки сточных вод централизованных систем водоотведения (канализации) (с объемом менее 20 тыс. куб. метров отводимых сточных вод в сутки);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lastRenderedPageBreak/>
        <w:t>ж) по производству бумаги и картона (с проектной производительностью менее 20 тонн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з) по производству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 (с проектной производительностью менее 10 тонн обработанного сырья в сутки);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и) по производству кожи и изделий из кожи с использованием оборудования для дубления, крашения, выделки шкур и кож (с проектной мощностью менее 12 тонн готовой продукции в сутки);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к) по производству следующих пищевых продуктов: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мясо и мясопродукты (с проектной производительностью менее 50 тонн готовой продукции в сутки);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растительные и животные масла и жиры (с проектной производительностью менее 75 тонн готовой продукции в сутки);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продукция из картофеля, фруктов и овощей (с проектной производительностью менее 300 тонн готовой продукции в сутки (среднеквартальный показатель);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молочная продукция (с проектной мощностью менее 200 тонн перерабатываемого молока в сутки (среднегодовой показатель);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л) по разведению сельскохозяйственной птицы (с проектной мощностью менее 40 тыс. </w:t>
      </w:r>
      <w:proofErr w:type="spellStart"/>
      <w:r>
        <w:t>птицемест</w:t>
      </w:r>
      <w:proofErr w:type="spellEnd"/>
      <w:r>
        <w:t>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м) по выращиванию и разведению свиней (с проектной мощностью менее 2000 мест), свиноматок (с проектной мощностью менее 750 мест);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н) связанной с обрабатывающим производством, на котором выполняются работы: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по поверхностной обработке металлов и пластических материалов (с использованием электролитических или химических процессов в технологических ваннах суммарным объемом менее 30 куб. метров);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по обработке поверхностей, предметов или продукции (с использованием органических растворителей, проектное потребление которых составляет менее 200 тонн в год);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о) по эксплуатации ядерных установок, в том числе атомных станций (за исключением исследовательских ядерных установок нулевой мощности);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п) по добыче урановой и ториевой руд, обогащению урановых и ториевых руд, производству ядерного топлива;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р) по эксплуатации: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радиационных источников (за исключением радиационных источников, содержащих в своем составе только </w:t>
      </w:r>
      <w:proofErr w:type="spellStart"/>
      <w:r>
        <w:t>радионуклидные</w:t>
      </w:r>
      <w:proofErr w:type="spellEnd"/>
      <w:r>
        <w:t xml:space="preserve"> источники четвертой и пятой категорий радиационной опасности) при условии наличия на объекте источников выбросов и сбросов радиоактивных веществ в окружающую среду;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пунктов хранения ядерных материалов и радиоактивных веществ, пунктов хранения, хранилищ радиоактивных отходов, пунктов захоронения радиоактивных отходов;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lastRenderedPageBreak/>
        <w:t>с) по транспортированию по трубопроводам газа, продуктов переработки газа, нефти и нефтепродуктов с использованием магистральных трубопроводов;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т) по производству искусственного графита;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у) по производству газа путем газификации и (или) сжижения: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углей, включая антрацит, каменный уголь, бурый уголь (лигнит);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других твердых топлив (на установках номинальной проектной мощностью 20 МВт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ф) по производству сырой нефти из горючих (битуминозных) сланцев и песка;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х) по производству обработанных асбестовых волокон, смесей на основе асбеста и изделий из них, изделий из асбестоцемента и волокнистого цемента;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ц) по складированию и хранению: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нефти и продуктов ее переработки (с проектной вместимостью 200 тыс. тонн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пестицидов и </w:t>
      </w:r>
      <w:proofErr w:type="spellStart"/>
      <w:r>
        <w:t>агрохимикатов</w:t>
      </w:r>
      <w:proofErr w:type="spellEnd"/>
      <w:r>
        <w:t xml:space="preserve"> (с проектной вместимостью 50 тонн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ч) по сбору, обработке и утилизации отходов в части, касающейся: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хранения отходов производства и потребления I - III классов опасности;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хранения отходов производства и потребления IV и V классов опасности (50 тонн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обезвреживания отходов производства и потребления IV и V классов опасности (с проектной мощностью менее 3 тонн в час);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обеззараживания и (или) обезвреживания биологических и медицинских отходов (с проектной мощностью менее 10 тонн в сутки);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захоронения отходов производства и потребления IV и V классов опасности, включая твердые коммунальные отходы (менее 20 тыс. тонн в год);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ш) по производству изделий из бетона для использования в строительстве, включая производство силикатного кирпича с использованием автоклавов (с проектной мощностью 1 млн. штук в год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щ) по разведению крупного рогатого скота (с проектной мощностью 400 мест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ы) по производству неметаллической минеральной продукции с использованием оборудования для расплава минеральных веществ, включая производство минеральных волокон (с проектным объемом плавки 20 тонн в сутки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э) по хранению и (или) уничтожению химического оружия.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3. Объект является: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а) портом, расположенным на внутренних водных путях Российской Федерации (допускающим проход судов водоизмещением 1350 тонн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б) морским портом;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в) объектом, предназначенным для приема, отправки воздушных судов и обслуживания </w:t>
      </w:r>
      <w:r>
        <w:lastRenderedPageBreak/>
        <w:t>воздушных перевозок (при наличии взлетно-посадочной полосы длиной 2100 метров и более);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>г) объектом инфраструктуры железнодорожного транспорта.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jc w:val="center"/>
        <w:outlineLvl w:val="1"/>
      </w:pPr>
      <w:r>
        <w:t>III. Критерии отнесения объектов, оказывающих</w:t>
      </w:r>
    </w:p>
    <w:p w:rsidR="00B47981" w:rsidRDefault="00B47981">
      <w:pPr>
        <w:pStyle w:val="ConsPlusNormal"/>
        <w:jc w:val="center"/>
      </w:pPr>
      <w:r>
        <w:t>незначительное негативное воздействие на окружающую среду,</w:t>
      </w:r>
    </w:p>
    <w:p w:rsidR="00B47981" w:rsidRDefault="00B47981">
      <w:pPr>
        <w:pStyle w:val="ConsPlusNormal"/>
        <w:jc w:val="center"/>
      </w:pPr>
      <w:r>
        <w:t>к объектам III категории</w:t>
      </w:r>
    </w:p>
    <w:p w:rsidR="00B47981" w:rsidRDefault="00B47981">
      <w:pPr>
        <w:pStyle w:val="ConsPlusNormal"/>
        <w:jc w:val="center"/>
      </w:pPr>
    </w:p>
    <w:p w:rsidR="00B47981" w:rsidRDefault="00B47981">
      <w:pPr>
        <w:pStyle w:val="ConsPlusNormal"/>
        <w:ind w:firstLine="540"/>
        <w:jc w:val="both"/>
      </w:pPr>
      <w:r>
        <w:t xml:space="preserve">4. Эксплуатация исследовательских ядерных установок нулевой мощности, радиационных источников, содержащих в своем составе только </w:t>
      </w:r>
      <w:proofErr w:type="spellStart"/>
      <w:r>
        <w:t>радионуклидные</w:t>
      </w:r>
      <w:proofErr w:type="spellEnd"/>
      <w:r>
        <w:t xml:space="preserve"> источники четвертой и пятой категорий.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5. Осуществление хозяйственной и (или) иной деятельности, не указанной в </w:t>
      </w:r>
      <w:hyperlink w:anchor="P30" w:history="1">
        <w:r>
          <w:rPr>
            <w:color w:val="0000FF"/>
          </w:rPr>
          <w:t>I</w:t>
        </w:r>
      </w:hyperlink>
      <w:r>
        <w:t xml:space="preserve">, </w:t>
      </w:r>
      <w:hyperlink w:anchor="P102" w:history="1">
        <w:r>
          <w:rPr>
            <w:color w:val="0000FF"/>
          </w:rPr>
          <w:t>II</w:t>
        </w:r>
      </w:hyperlink>
      <w:r>
        <w:t xml:space="preserve"> и </w:t>
      </w:r>
      <w:hyperlink w:anchor="P174" w:history="1">
        <w:r>
          <w:rPr>
            <w:color w:val="0000FF"/>
          </w:rPr>
          <w:t>IV разделах</w:t>
        </w:r>
      </w:hyperlink>
      <w:r>
        <w:t xml:space="preserve"> настоящего документа и не соответствующей уровням воздействия на окружающую среду, определенным в </w:t>
      </w:r>
      <w:hyperlink w:anchor="P174" w:history="1">
        <w:r>
          <w:rPr>
            <w:color w:val="0000FF"/>
          </w:rPr>
          <w:t>IV разделе</w:t>
        </w:r>
      </w:hyperlink>
      <w:r>
        <w:t xml:space="preserve"> настоящего документа.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jc w:val="center"/>
        <w:outlineLvl w:val="1"/>
      </w:pPr>
      <w:bookmarkStart w:id="4" w:name="P174"/>
      <w:bookmarkEnd w:id="4"/>
      <w:r>
        <w:t xml:space="preserve">IV. Критерии отнесения объектов, оказывающих </w:t>
      </w:r>
      <w:proofErr w:type="gramStart"/>
      <w:r>
        <w:t>негативное</w:t>
      </w:r>
      <w:proofErr w:type="gramEnd"/>
    </w:p>
    <w:p w:rsidR="00B47981" w:rsidRDefault="00B47981">
      <w:pPr>
        <w:pStyle w:val="ConsPlusNormal"/>
        <w:jc w:val="center"/>
      </w:pPr>
      <w:r>
        <w:t>воздействие на окружающую среду, к объектам IV категории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ind w:firstLine="540"/>
        <w:jc w:val="both"/>
      </w:pPr>
      <w:bookmarkStart w:id="5" w:name="P177"/>
      <w:bookmarkEnd w:id="5"/>
      <w:r>
        <w:t>6. Наличие одновременно следующих критериев: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а) наличие на объекте стационарных источников загрязнения окружающей среды, масса загрязняющих веществ в </w:t>
      </w:r>
      <w:proofErr w:type="gramStart"/>
      <w:r>
        <w:t>выбросах</w:t>
      </w:r>
      <w:proofErr w:type="gramEnd"/>
      <w:r>
        <w:t xml:space="preserve"> в атмосферный воздух которых не превышает 10 тонн в год, при отсутствии в составе выбросов веществ I и II классов опасности, радиоактивных веществ;</w:t>
      </w:r>
    </w:p>
    <w:p w:rsidR="00B47981" w:rsidRDefault="00B47981">
      <w:pPr>
        <w:pStyle w:val="ConsPlusNormal"/>
        <w:spacing w:before="220"/>
        <w:ind w:firstLine="540"/>
        <w:jc w:val="both"/>
      </w:pPr>
      <w:bookmarkStart w:id="6" w:name="P179"/>
      <w:bookmarkEnd w:id="6"/>
      <w:r>
        <w:t>б) отсутствие сбросов загрязняющих веществ в составе сточных вод в централизованные системы водоотведения, другие сооружения и системы отведения и очистки сточных вод, за исключением сбросов загрязняющих веществ, образующихся в результате использования вод для бытовых нужд, а также отсутствие сбросов загрязняющих веществ в окружающую среду.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7. Осуществление на объекте деятельности по обеспечению электрической энергией, газом и паром (с использованием оборудования с проектной тепловой мощностью менее 2 Гкал/час при потреблении газообразного топлива) при условии соответствия такого объекта критериям, предусмотренным </w:t>
      </w:r>
      <w:hyperlink w:anchor="P179" w:history="1">
        <w:r>
          <w:rPr>
            <w:color w:val="0000FF"/>
          </w:rPr>
          <w:t>подпунктом "б" пункта 6</w:t>
        </w:r>
      </w:hyperlink>
      <w:r>
        <w:t xml:space="preserve"> настоящего документа.</w:t>
      </w:r>
    </w:p>
    <w:p w:rsidR="00B47981" w:rsidRDefault="00B47981">
      <w:pPr>
        <w:pStyle w:val="ConsPlusNormal"/>
        <w:spacing w:before="220"/>
        <w:ind w:firstLine="540"/>
        <w:jc w:val="both"/>
      </w:pPr>
      <w:r>
        <w:t xml:space="preserve">8. Использование на объекте оборудования исключительно для исследований, разработок и испытаний новой продукции и процессов (предприятия опытного производства, научно-исследовательские институты, опытно-конструкторские бюро) при условии соответствия такого объекта критериям, предусмотренным </w:t>
      </w:r>
      <w:hyperlink w:anchor="P177" w:history="1">
        <w:r>
          <w:rPr>
            <w:color w:val="0000FF"/>
          </w:rPr>
          <w:t>пунктом 6</w:t>
        </w:r>
      </w:hyperlink>
      <w:r>
        <w:t xml:space="preserve"> настоящего документа.</w:t>
      </w: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ind w:firstLine="540"/>
        <w:jc w:val="both"/>
      </w:pPr>
    </w:p>
    <w:p w:rsidR="00B47981" w:rsidRDefault="00B479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7482D" w:rsidRDefault="0037482D"/>
    <w:sectPr w:rsidR="0037482D" w:rsidSect="008F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81"/>
    <w:rsid w:val="0037482D"/>
    <w:rsid w:val="008D2D5E"/>
    <w:rsid w:val="00B4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9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9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2021-02-10T11:41:00Z</dcterms:created>
  <dcterms:modified xsi:type="dcterms:W3CDTF">2021-02-10T11:41:00Z</dcterms:modified>
</cp:coreProperties>
</file>