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9"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10"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bookmarkStart w:id="0" w:name="_GoBack"/>
      <w:bookmarkEnd w:id="0"/>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roofErr w:type="gramEnd"/>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proofErr w:type="gramStart"/>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roofErr w:type="gramEnd"/>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proofErr w:type="gramStart"/>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roofErr w:type="gramEnd"/>
    </w:p>
    <w:p w:rsidR="00AF3313" w:rsidRDefault="003A6014"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roofErr w:type="gramEnd"/>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w:t>
      </w:r>
      <w:proofErr w:type="gramStart"/>
      <w:r w:rsidR="00DA1458" w:rsidRPr="0012570F">
        <w:rPr>
          <w:rFonts w:ascii="Times New Roman" w:hAnsi="Times New Roman" w:cs="Times New Roman"/>
          <w:sz w:val="28"/>
          <w:szCs w:val="28"/>
        </w:rPr>
        <w:t>за</w:t>
      </w:r>
      <w:proofErr w:type="gramEnd"/>
      <w:r w:rsidR="00DA1458" w:rsidRPr="0012570F">
        <w:rPr>
          <w:rFonts w:ascii="Times New Roman" w:hAnsi="Times New Roman" w:cs="Times New Roman"/>
          <w:sz w:val="28"/>
          <w:szCs w:val="28"/>
        </w:rPr>
        <w:t xml:space="preserve">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для</w:t>
            </w:r>
            <w:proofErr w:type="gramEnd"/>
            <w:r w:rsidR="004C5DC7">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005046EA" w:rsidRPr="006A6531">
        <w:rPr>
          <w:rFonts w:ascii="Times New Roman" w:hAnsi="Times New Roman" w:cs="Times New Roman"/>
          <w:sz w:val="28"/>
          <w:szCs w:val="28"/>
        </w:rPr>
        <w:t xml:space="preserve"> </w:t>
      </w:r>
      <w:proofErr w:type="gramStart"/>
      <w:r w:rsidR="005046EA" w:rsidRPr="006A6531">
        <w:rPr>
          <w:rFonts w:ascii="Times New Roman" w:hAnsi="Times New Roman" w:cs="Times New Roman"/>
          <w:sz w:val="28"/>
          <w:szCs w:val="28"/>
        </w:rPr>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w:t>
      </w:r>
      <w:proofErr w:type="gramEnd"/>
      <w:r w:rsidR="00E54BF0" w:rsidRPr="006A6531">
        <w:rPr>
          <w:rFonts w:ascii="Times New Roman" w:hAnsi="Times New Roman" w:cs="Times New Roman"/>
          <w:sz w:val="28"/>
          <w:szCs w:val="28"/>
        </w:rPr>
        <w:t xml:space="preserve">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proofErr w:type="gramStart"/>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roofErr w:type="gramEnd"/>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proofErr w:type="gramStart"/>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85402F" w:rsidRPr="0038153E">
        <w:rPr>
          <w:rStyle w:val="a8"/>
          <w:rFonts w:ascii="Times New Roman" w:hAnsi="Times New Roman" w:cs="Times New Roman"/>
          <w:color w:val="000000"/>
          <w:sz w:val="28"/>
          <w:szCs w:val="28"/>
        </w:rPr>
        <w:t xml:space="preserve">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w:t>
      </w:r>
      <w:proofErr w:type="gramStart"/>
      <w:r w:rsidR="0085402F" w:rsidRPr="0038153E">
        <w:rPr>
          <w:rFonts w:ascii="Times New Roman" w:hAnsi="Times New Roman"/>
          <w:sz w:val="28"/>
          <w:szCs w:val="28"/>
        </w:rPr>
        <w:t>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roofErr w:type="gramEnd"/>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 xml:space="preserve">ывается </w:t>
      </w:r>
      <w:proofErr w:type="gramStart"/>
      <w:r w:rsidR="00AA4287">
        <w:rPr>
          <w:rFonts w:ascii="Times New Roman" w:hAnsi="Times New Roman" w:cs="Times New Roman"/>
          <w:sz w:val="28"/>
          <w:szCs w:val="28"/>
        </w:rPr>
        <w:t>временная</w:t>
      </w:r>
      <w:proofErr w:type="gramEnd"/>
      <w:r w:rsidR="00AA4287">
        <w:rPr>
          <w:rFonts w:ascii="Times New Roman" w:hAnsi="Times New Roman" w:cs="Times New Roman"/>
          <w:sz w:val="28"/>
          <w:szCs w:val="28"/>
        </w:rPr>
        <w:t xml:space="preserve">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roofErr w:type="gramEnd"/>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2"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134B12" w:rsidRPr="00E25A57" w:rsidRDefault="00134B12" w:rsidP="00655578">
      <w:pPr>
        <w:pStyle w:val="aa"/>
        <w:numPr>
          <w:ilvl w:val="0"/>
          <w:numId w:val="27"/>
        </w:numPr>
        <w:ind w:left="0" w:firstLine="709"/>
        <w:rPr>
          <w:rFonts w:ascii="Times New Roman" w:hAnsi="Times New Roman" w:cs="Times New Roman"/>
          <w:sz w:val="28"/>
          <w:szCs w:val="28"/>
        </w:rPr>
      </w:pPr>
      <w:proofErr w:type="gramStart"/>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roofErr w:type="gramEnd"/>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3"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proofErr w:type="gramStart"/>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proofErr w:type="gramStart"/>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roofErr w:type="gramEnd"/>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xml:space="preserve">. </w:t>
      </w:r>
      <w:proofErr w:type="gramStart"/>
      <w:r w:rsidR="00403005" w:rsidRPr="00091168">
        <w:rPr>
          <w:rStyle w:val="a8"/>
          <w:rFonts w:ascii="Times New Roman" w:hAnsi="Times New Roman" w:cs="Times New Roman"/>
          <w:color w:val="000000"/>
          <w:sz w:val="28"/>
          <w:szCs w:val="28"/>
        </w:rPr>
        <w:t>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roofErr w:type="gramEnd"/>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E71847" w:rsidRPr="00655578">
        <w:rPr>
          <w:rFonts w:ascii="Times New Roman" w:eastAsia="Times New Roman" w:hAnsi="Times New Roman" w:cs="Times New Roman"/>
          <w:sz w:val="28"/>
          <w:szCs w:val="28"/>
          <w:lang w:eastAsia="ru-RU"/>
        </w:rPr>
        <w:t>дств св</w:t>
      </w:r>
      <w:proofErr w:type="gramEnd"/>
      <w:r w:rsidR="00E71847" w:rsidRPr="00655578">
        <w:rPr>
          <w:rFonts w:ascii="Times New Roman" w:eastAsia="Times New Roman" w:hAnsi="Times New Roman" w:cs="Times New Roman"/>
          <w:sz w:val="28"/>
          <w:szCs w:val="28"/>
          <w:lang w:eastAsia="ru-RU"/>
        </w:rPr>
        <w:t>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00A15B6A" w:rsidRPr="00091168">
        <w:rPr>
          <w:sz w:val="28"/>
          <w:szCs w:val="28"/>
        </w:rPr>
        <w:t>об</w:t>
      </w:r>
      <w:proofErr w:type="gramEnd"/>
      <w:r w:rsidR="00A15B6A" w:rsidRPr="00091168">
        <w:rPr>
          <w:sz w:val="28"/>
          <w:szCs w:val="28"/>
        </w:rPr>
        <w:t xml:space="preserve"> </w:t>
      </w:r>
      <w:proofErr w:type="gramStart"/>
      <w:r w:rsidR="00A15B6A" w:rsidRPr="00091168">
        <w:rPr>
          <w:sz w:val="28"/>
          <w:szCs w:val="28"/>
        </w:rPr>
        <w:t>их</w:t>
      </w:r>
      <w:proofErr w:type="gramEnd"/>
      <w:r w:rsidR="00A15B6A" w:rsidRPr="00091168">
        <w:rPr>
          <w:sz w:val="28"/>
          <w:szCs w:val="28"/>
        </w:rPr>
        <w:t xml:space="preserve"> </w:t>
      </w:r>
      <w:proofErr w:type="gramStart"/>
      <w:r w:rsidR="00A15B6A" w:rsidRPr="00091168">
        <w:rPr>
          <w:sz w:val="28"/>
          <w:szCs w:val="28"/>
        </w:rPr>
        <w:t>использовании</w:t>
      </w:r>
      <w:proofErr w:type="gramEnd"/>
      <w:r w:rsidR="00A15B6A" w:rsidRPr="00091168">
        <w:rPr>
          <w:sz w:val="28"/>
          <w:szCs w:val="28"/>
        </w:rPr>
        <w:t xml:space="preserve">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w:t>
      </w:r>
      <w:proofErr w:type="gramStart"/>
      <w:r w:rsidRPr="00655578">
        <w:rPr>
          <w:rFonts w:ascii="Times New Roman" w:hAnsi="Times New Roman" w:cs="Times New Roman"/>
          <w:sz w:val="28"/>
          <w:szCs w:val="28"/>
        </w:rPr>
        <w:t>дств вз</w:t>
      </w:r>
      <w:proofErr w:type="gramEnd"/>
      <w:r w:rsidRPr="00655578">
        <w:rPr>
          <w:rFonts w:ascii="Times New Roman" w:hAnsi="Times New Roman" w:cs="Times New Roman"/>
          <w:sz w:val="28"/>
          <w:szCs w:val="28"/>
        </w:rPr>
        <w:t>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w:t>
      </w:r>
      <w:proofErr w:type="gramEnd"/>
      <w:r w:rsidR="00C34AE0" w:rsidRPr="00655578">
        <w:rPr>
          <w:rFonts w:ascii="Times New Roman" w:hAnsi="Times New Roman" w:cs="Times New Roman"/>
          <w:sz w:val="28"/>
          <w:szCs w:val="28"/>
        </w:rPr>
        <w:t>)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Pr="00445383">
        <w:rPr>
          <w:rFonts w:ascii="Times New Roman" w:hAnsi="Times New Roman" w:cs="Times New Roman"/>
          <w:bCs/>
          <w:color w:val="000000"/>
          <w:sz w:val="28"/>
          <w:szCs w:val="28"/>
        </w:rPr>
        <w:t>Например</w:t>
      </w:r>
      <w:proofErr w:type="gramEnd"/>
      <w:r w:rsidRPr="00445383">
        <w:rPr>
          <w:rFonts w:ascii="Times New Roman" w:hAnsi="Times New Roman" w:cs="Times New Roman"/>
          <w:bCs/>
          <w:color w:val="000000"/>
          <w:sz w:val="28"/>
          <w:szCs w:val="28"/>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proofErr w:type="gramStart"/>
      <w:r w:rsidR="00EF7705" w:rsidRPr="00655578">
        <w:rPr>
          <w:rFonts w:ascii="Times New Roman" w:hAnsi="Times New Roman" w:cs="Times New Roman"/>
          <w:sz w:val="28"/>
          <w:szCs w:val="28"/>
        </w:rPr>
        <w:t>,</w:t>
      </w:r>
      <w:proofErr w:type="gramEnd"/>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w:t>
      </w:r>
      <w:proofErr w:type="gramEnd"/>
      <w:r w:rsidRPr="00655578">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proofErr w:type="gramStart"/>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00DF4A14" w:rsidRPr="00485F6F">
        <w:rPr>
          <w:rFonts w:ascii="Times New Roman" w:hAnsi="Times New Roman" w:cs="Times New Roman"/>
          <w:sz w:val="28"/>
          <w:szCs w:val="28"/>
        </w:rPr>
        <w:t xml:space="preserve">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proofErr w:type="gramStart"/>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w:t>
      </w:r>
      <w:proofErr w:type="gramEnd"/>
      <w:r w:rsidRPr="00485F6F">
        <w:rPr>
          <w:rFonts w:ascii="Times New Roman" w:hAnsi="Times New Roman" w:cs="Times New Roman"/>
          <w:sz w:val="28"/>
          <w:szCs w:val="28"/>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85F6F">
        <w:rPr>
          <w:rFonts w:ascii="Times New Roman" w:hAnsi="Times New Roman" w:cs="Times New Roman"/>
          <w:sz w:val="28"/>
          <w:szCs w:val="28"/>
        </w:rPr>
        <w:t>дств в с</w:t>
      </w:r>
      <w:proofErr w:type="gramEnd"/>
      <w:r w:rsidRPr="00485F6F">
        <w:rPr>
          <w:rFonts w:ascii="Times New Roman" w:hAnsi="Times New Roman" w:cs="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proofErr w:type="gramStart"/>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5F5810">
        <w:rPr>
          <w:rFonts w:ascii="Times New Roman" w:hAnsi="Times New Roman" w:cs="Times New Roman"/>
          <w:sz w:val="28"/>
          <w:szCs w:val="28"/>
        </w:rPr>
        <w:t>сведения</w:t>
      </w:r>
      <w:proofErr w:type="gramEnd"/>
      <w:r w:rsidRPr="005F5810">
        <w:rPr>
          <w:rFonts w:ascii="Times New Roman" w:hAnsi="Times New Roman" w:cs="Times New Roman"/>
          <w:sz w:val="28"/>
          <w:szCs w:val="28"/>
        </w:rPr>
        <w:t xml:space="preserve">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в) должности </w:t>
      </w:r>
      <w:proofErr w:type="gramStart"/>
      <w:r w:rsidRPr="005F5810">
        <w:rPr>
          <w:rFonts w:ascii="Times New Roman" w:hAnsi="Times New Roman" w:cs="Times New Roman"/>
          <w:sz w:val="28"/>
          <w:szCs w:val="28"/>
        </w:rPr>
        <w:t>членов Совета директоров Центрального банка Российской Федерации</w:t>
      </w:r>
      <w:proofErr w:type="gramEnd"/>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F5810">
        <w:rPr>
          <w:rFonts w:ascii="Times New Roman" w:hAnsi="Times New Roman" w:cs="Times New Roman"/>
          <w:sz w:val="28"/>
          <w:szCs w:val="28"/>
        </w:rPr>
        <w:t xml:space="preserve"> </w:t>
      </w:r>
      <w:proofErr w:type="gramStart"/>
      <w:r w:rsidRPr="005F5810">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roofErr w:type="gramEnd"/>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5918C3" w:rsidRPr="005F5810">
        <w:rPr>
          <w:rFonts w:ascii="Times New Roman" w:hAnsi="Times New Roman" w:cs="Times New Roman"/>
          <w:sz w:val="28"/>
          <w:szCs w:val="28"/>
        </w:rPr>
        <w:t xml:space="preserve">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4"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E30309">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 xml:space="preserve">Счет зарплатной карты, как правило, текущий. Однако если договором с банком предусмотрено начисление процентов по денежным </w:t>
      </w:r>
      <w:proofErr w:type="gramStart"/>
      <w:r w:rsidRPr="00E30309">
        <w:rPr>
          <w:rFonts w:ascii="Times New Roman" w:hAnsi="Times New Roman" w:cs="Times New Roman"/>
          <w:sz w:val="28"/>
          <w:szCs w:val="28"/>
        </w:rPr>
        <w:t>средствам</w:t>
      </w:r>
      <w:proofErr w:type="gramEnd"/>
      <w:r w:rsidRPr="00E30309">
        <w:rPr>
          <w:rFonts w:ascii="Times New Roman" w:hAnsi="Times New Roman" w:cs="Times New Roman"/>
          <w:sz w:val="28"/>
          <w:szCs w:val="28"/>
        </w:rPr>
        <w:t xml:space="preserve">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8"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AC0C38">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AC0C38">
              <w:rPr>
                <w:rFonts w:ascii="Times New Roman" w:hAnsi="Times New Roman" w:cs="Times New Roman"/>
                <w:sz w:val="28"/>
                <w:szCs w:val="28"/>
              </w:rPr>
              <w:t>осуществления</w:t>
            </w:r>
            <w:proofErr w:type="gramEnd"/>
            <w:r w:rsidRPr="00AC0C38">
              <w:rPr>
                <w:rFonts w:ascii="Times New Roman" w:hAnsi="Times New Roman" w:cs="Times New Roman"/>
                <w:sz w:val="28"/>
                <w:szCs w:val="28"/>
              </w:rPr>
              <w:t xml:space="preserve">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E30309">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9"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proofErr w:type="gramStart"/>
      <w:r w:rsidR="0039062A" w:rsidRPr="00E30309">
        <w:rPr>
          <w:rFonts w:ascii="Times New Roman" w:hAnsi="Times New Roman" w:cs="Times New Roman"/>
          <w:sz w:val="28"/>
          <w:szCs w:val="28"/>
        </w:rPr>
        <w:t>от</w:t>
      </w:r>
      <w:proofErr w:type="gramEnd"/>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 xml:space="preserve">прилагается на      </w:t>
      </w:r>
      <w:proofErr w:type="gramStart"/>
      <w:r w:rsidR="006E7C1A" w:rsidRPr="004E4A70">
        <w:rPr>
          <w:rFonts w:ascii="Times New Roman" w:hAnsi="Times New Roman" w:cs="Times New Roman"/>
          <w:sz w:val="28"/>
          <w:szCs w:val="28"/>
        </w:rPr>
        <w:t>л</w:t>
      </w:r>
      <w:proofErr w:type="gramEnd"/>
      <w:r w:rsidR="006E7C1A" w:rsidRPr="004E4A70">
        <w:rPr>
          <w:rFonts w:ascii="Times New Roman" w:hAnsi="Times New Roman" w:cs="Times New Roman"/>
          <w:sz w:val="28"/>
          <w:szCs w:val="28"/>
        </w:rPr>
        <w:t>.»</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а также</w:t>
      </w:r>
      <w:proofErr w:type="gramEnd"/>
      <w:r w:rsidR="00E30309" w:rsidRPr="00E30309">
        <w:rPr>
          <w:rFonts w:ascii="Times New Roman" w:hAnsi="Times New Roman" w:cs="Times New Roman"/>
          <w:sz w:val="28"/>
          <w:szCs w:val="28"/>
        </w:rPr>
        <w:t xml:space="preserve">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w:t>
      </w:r>
      <w:proofErr w:type="gramStart"/>
      <w:r w:rsidR="00E30309" w:rsidRPr="00E30309">
        <w:rPr>
          <w:rFonts w:ascii="Times New Roman" w:hAnsi="Times New Roman" w:cs="Times New Roman"/>
          <w:sz w:val="28"/>
          <w:szCs w:val="28"/>
        </w:rPr>
        <w:t xml:space="preserve">дств </w:t>
      </w:r>
      <w:r w:rsidR="00655578" w:rsidRPr="00E30309">
        <w:rPr>
          <w:rFonts w:ascii="Times New Roman" w:hAnsi="Times New Roman" w:cs="Times New Roman"/>
          <w:sz w:val="28"/>
          <w:szCs w:val="28"/>
        </w:rPr>
        <w:t>в р</w:t>
      </w:r>
      <w:proofErr w:type="gramEnd"/>
      <w:r w:rsidR="00655578" w:rsidRPr="00E30309">
        <w:rPr>
          <w:rFonts w:ascii="Times New Roman" w:hAnsi="Times New Roman" w:cs="Times New Roman"/>
          <w:sz w:val="28"/>
          <w:szCs w:val="28"/>
        </w:rPr>
        <w:t>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w:t>
      </w:r>
      <w:proofErr w:type="gramStart"/>
      <w:r w:rsidRPr="00E30309">
        <w:rPr>
          <w:rFonts w:ascii="Times New Roman" w:hAnsi="Times New Roman" w:cs="Times New Roman"/>
          <w:sz w:val="28"/>
          <w:szCs w:val="28"/>
        </w:rPr>
        <w:t>ии и ее</w:t>
      </w:r>
      <w:proofErr w:type="gramEnd"/>
      <w:r w:rsidRPr="00E30309">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proofErr w:type="gramStart"/>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roofErr w:type="gramEnd"/>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w:t>
      </w:r>
      <w:proofErr w:type="gramStart"/>
      <w:r w:rsidRPr="00737F65">
        <w:rPr>
          <w:rFonts w:ascii="Times New Roman" w:hAnsi="Times New Roman" w:cs="Times New Roman"/>
        </w:rPr>
        <w:t>,</w:t>
      </w:r>
      <w:proofErr w:type="gramEnd"/>
      <w:r w:rsidRPr="00737F65">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proofErr w:type="gramStart"/>
      <w:r w:rsidRPr="00737F65">
        <w:rPr>
          <w:rFonts w:ascii="Times New Roman" w:hAnsi="Times New Roman" w:cs="Times New Roman"/>
          <w:sz w:val="28"/>
          <w:szCs w:val="28"/>
        </w:rPr>
        <w:t>имеющиеся</w:t>
      </w:r>
      <w:proofErr w:type="gramEnd"/>
      <w:r w:rsidRPr="00737F65">
        <w:rPr>
          <w:rFonts w:ascii="Times New Roman" w:hAnsi="Times New Roman" w:cs="Times New Roman"/>
          <w:sz w:val="28"/>
          <w:szCs w:val="28"/>
        </w:rPr>
        <w:t xml:space="preserve">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w:t>
      </w:r>
      <w:proofErr w:type="gramEnd"/>
      <w:r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2"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 обязательство вследствие причинения вреда (финансовые) и т.д.</w:t>
      </w:r>
      <w:proofErr w:type="gramEnd"/>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737F65">
        <w:rPr>
          <w:rFonts w:ascii="Times New Roman" w:hAnsi="Times New Roman" w:cs="Times New Roman"/>
          <w:sz w:val="28"/>
          <w:szCs w:val="28"/>
        </w:rPr>
        <w:t xml:space="preserve">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21B3A">
        <w:rPr>
          <w:rFonts w:ascii="Times New Roman" w:hAnsi="Times New Roman" w:cs="Times New Roman"/>
          <w:sz w:val="28"/>
          <w:szCs w:val="28"/>
        </w:rPr>
        <w:t>дств в с</w:t>
      </w:r>
      <w:proofErr w:type="gramEnd"/>
      <w:r w:rsidRPr="00421B3A">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421B3A">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421B3A">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w:t>
      </w:r>
      <w:proofErr w:type="gramStart"/>
      <w:r w:rsidR="00BC5508" w:rsidRPr="00421B3A">
        <w:rPr>
          <w:rFonts w:ascii="Times New Roman" w:hAnsi="Times New Roman" w:cs="Times New Roman"/>
          <w:sz w:val="28"/>
          <w:szCs w:val="28"/>
        </w:rPr>
        <w:t>отразить</w:t>
      </w:r>
      <w:proofErr w:type="gramEnd"/>
      <w:r w:rsidR="00BC5508" w:rsidRPr="00421B3A">
        <w:rPr>
          <w:rFonts w:ascii="Times New Roman" w:hAnsi="Times New Roman" w:cs="Times New Roman"/>
          <w:sz w:val="28"/>
          <w:szCs w:val="28"/>
        </w:rPr>
        <w:t xml:space="preserve">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CD" w:rsidRDefault="00CD44CD" w:rsidP="00204BB5">
      <w:r>
        <w:separator/>
      </w:r>
    </w:p>
  </w:endnote>
  <w:endnote w:type="continuationSeparator" w:id="0">
    <w:p w:rsidR="00CD44CD" w:rsidRDefault="00CD44C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CD" w:rsidRDefault="00CD44CD" w:rsidP="00204BB5">
      <w:r>
        <w:separator/>
      </w:r>
    </w:p>
  </w:footnote>
  <w:footnote w:type="continuationSeparator" w:id="0">
    <w:p w:rsidR="00CD44CD" w:rsidRDefault="00CD44C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547851">
          <w:rPr>
            <w:rFonts w:ascii="Times New Roman" w:hAnsi="Times New Roman" w:cs="Times New Roman"/>
            <w:noProof/>
            <w:sz w:val="28"/>
            <w:szCs w:val="28"/>
          </w:rPr>
          <w:t>30</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851"/>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4CD"/>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328F731-CD79-496D-A30D-F2D7A744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2015-02-26T07:26:00Z</cp:lastPrinted>
  <dcterms:created xsi:type="dcterms:W3CDTF">2015-02-26T07:28:00Z</dcterms:created>
  <dcterms:modified xsi:type="dcterms:W3CDTF">2015-02-26T07:28:00Z</dcterms:modified>
</cp:coreProperties>
</file>